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customXml/_rels/item1.xml.rels" ContentType="application/vnd.openxmlformats-package.relationships+xml"/>
  <Override PartName="/customXml/itemProps1.xml" ContentType="application/vnd.openxmlformats-officedocument.customXmlProperties+xml"/>
  <Override PartName="/customXml/item1.xml" ContentType="application/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Header"/>
        <w:rPr>
          <w:i/>
          <w:i/>
          <w:color w:val="FF0000"/>
          <w:sz w:val="20"/>
          <w:szCs w:val="20"/>
        </w:rPr>
      </w:pPr>
      <w:r>
        <w:rPr>
          <w:b/>
          <w:sz w:val="20"/>
          <w:szCs w:val="20"/>
          <w:highlight w:val="yellow"/>
        </w:rPr>
        <w:t xml:space="preserve">CHESTIONAR </w:t>
      </w:r>
      <w:r>
        <w:rPr>
          <w:b/>
          <w:sz w:val="20"/>
          <w:szCs w:val="20"/>
        </w:rPr>
        <w:t>3</w:t>
      </w:r>
      <w:r>
        <w:rPr>
          <w:sz w:val="20"/>
          <w:szCs w:val="20"/>
        </w:rPr>
        <w:tab/>
        <w:tab/>
        <w:tab/>
        <w:tab/>
        <w:tab/>
        <w:tab/>
      </w:r>
    </w:p>
    <w:p>
      <w:pPr>
        <w:pStyle w:val="Header"/>
        <w:tabs>
          <w:tab w:val="left" w:pos="840" w:leader="none"/>
          <w:tab w:val="center" w:pos="4320" w:leader="none"/>
          <w:tab w:val="right" w:pos="8640" w:leader="none"/>
        </w:tabs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jc w:val="center"/>
        <w:rPr>
          <w:b/>
          <w:b/>
          <w:sz w:val="28"/>
          <w:szCs w:val="28"/>
        </w:rPr>
      </w:pPr>
      <w:r>
        <w:rPr>
          <w:b/>
        </w:rPr>
        <w:t xml:space="preserve">CENTRALIZATOR  OPŢIUNI ŞCOLARE ŞI PROFESIONALE  </w:t>
      </w:r>
      <w:r>
        <w:rPr>
          <w:b/>
          <w:sz w:val="28"/>
          <w:szCs w:val="28"/>
          <w:highlight w:val="yellow"/>
        </w:rPr>
        <w:t>NR. 3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ind w:left="720" w:hanging="0"/>
        <w:rPr/>
      </w:pPr>
      <w:r>
        <w:rPr/>
        <w:t>Unitatea şcolară: …………………………………………………………………………………….</w:t>
      </w:r>
    </w:p>
    <w:p>
      <w:pPr>
        <w:pStyle w:val="Normal"/>
        <w:tabs>
          <w:tab w:val="left" w:pos="960" w:leader="none"/>
        </w:tabs>
        <w:rPr/>
      </w:pPr>
      <w:r>
        <w:rPr/>
        <w:tab/>
      </w:r>
    </w:p>
    <w:p>
      <w:pPr>
        <w:pStyle w:val="Normal"/>
        <w:tabs>
          <w:tab w:val="left" w:pos="960" w:leader="none"/>
        </w:tabs>
        <w:rPr/>
      </w:pPr>
      <w:r>
        <w:rPr/>
        <w:t>M</w:t>
      </w:r>
      <w:r>
        <w:rPr/>
        <w:t>ediul:</w:t>
        <w:tab/>
        <w:t xml:space="preserve">Urban </w: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2">
                <wp:simplePos x="0" y="0"/>
                <wp:positionH relativeFrom="column">
                  <wp:posOffset>1143000</wp:posOffset>
                </wp:positionH>
                <wp:positionV relativeFrom="paragraph">
                  <wp:posOffset>43180</wp:posOffset>
                </wp:positionV>
                <wp:extent cx="179705" cy="179705"/>
                <wp:effectExtent l="0" t="0" r="0" b="0"/>
                <wp:wrapNone/>
                <wp:docPr id="1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705" cy="179705"/>
                        </a:xfrm>
                        <a:prstGeom prst="rect"/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0;width:14.15pt;height:14.15pt;mso-wrap-distance-left:9pt;mso-wrap-distance-right:9pt;mso-wrap-distance-top:0pt;mso-wrap-distance-bottom:0pt;margin-top:3.4pt;mso-position-vertical-relative:text;margin-left:90pt;mso-position-horizontal-relative:text">
                <v:textbox inset="0in,0in,0in,0in">
                  <w:txbxContent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tabs>
          <w:tab w:val="left" w:pos="960" w:leader="none"/>
        </w:tabs>
        <w:rPr/>
      </w:pPr>
      <w:r>
        <w:rPr/>
        <w:tab/>
      </w:r>
    </w:p>
    <w:p>
      <w:pPr>
        <w:pStyle w:val="Normal"/>
        <w:tabs>
          <w:tab w:val="left" w:pos="960" w:leader="none"/>
        </w:tabs>
        <w:rPr/>
      </w:pPr>
      <w:r>
        <w:rPr/>
        <w:tab/>
      </w:r>
      <w:r>
        <w:rPr/>
        <w:t xml:space="preserve">Rural  </w:t>
      </w:r>
      <w:r>
        <mc:AlternateContent>
          <mc:Choice Requires="wps">
            <w:drawing>
              <wp:anchor behindDoc="0" distT="0" distB="0" distL="114300" distR="114300" simplePos="0" locked="0" layoutInCell="1" allowOverlap="1" relativeHeight="3">
                <wp:simplePos x="0" y="0"/>
                <wp:positionH relativeFrom="column">
                  <wp:posOffset>1143000</wp:posOffset>
                </wp:positionH>
                <wp:positionV relativeFrom="paragraph">
                  <wp:posOffset>35560</wp:posOffset>
                </wp:positionV>
                <wp:extent cx="179705" cy="179705"/>
                <wp:effectExtent l="0" t="0" r="0" b="0"/>
                <wp:wrapNone/>
                <wp:docPr id="2" name=""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9705" cy="179705"/>
                        </a:xfrm>
                        <a:prstGeom prst="rect"/>
                        <a:solidFill>
                          <a:srgbClr val="FFFFFF"/>
                        </a:solidFill>
                        <a:ln w="635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pStyle w:val="FrameContents"/>
                              <w:jc w:val="center"/>
                              <w:rPr/>
                            </w:pPr>
                            <w:r>
                              <w:rPr/>
                            </w:r>
                          </w:p>
                        </w:txbxContent>
                      </wps:txbx>
                      <wps:bodyPr anchor="t" lIns="0" tIns="0" rIns="0" bIns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fillcolor="#FFFFFF" strokecolor="#000000" strokeweight="0pt" style="position:absolute;rotation:0;width:14.15pt;height:14.15pt;mso-wrap-distance-left:9pt;mso-wrap-distance-right:9pt;mso-wrap-distance-top:0pt;mso-wrap-distance-bottom:0pt;margin-top:2.8pt;mso-position-vertical-relative:text;margin-left:90pt;mso-position-horizontal-relative:text">
                <v:textbox inset="0in,0in,0in,0in">
                  <w:txbxContent>
                    <w:p>
                      <w:pPr>
                        <w:pStyle w:val="FrameContents"/>
                        <w:jc w:val="center"/>
                        <w:rPr/>
                      </w:pPr>
                      <w:r>
                        <w:rPr/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/>
      </w:pPr>
      <w:r>
        <w:rPr/>
        <w:t xml:space="preserve">Nr. elevi chestionaţi: _________ </w:t>
      </w:r>
    </w:p>
    <w:p>
      <w:pPr>
        <w:pStyle w:val="Normal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Heading2"/>
        <w:rPr>
          <w:b w:val="false"/>
          <w:b w:val="false"/>
          <w:sz w:val="32"/>
          <w:szCs w:val="32"/>
        </w:rPr>
      </w:pPr>
      <w:r>
        <w:rPr>
          <w:b w:val="false"/>
          <w:sz w:val="32"/>
          <w:szCs w:val="32"/>
        </w:rPr>
      </w:r>
    </w:p>
    <w:p>
      <w:pPr>
        <w:pStyle w:val="Heading2"/>
        <w:rPr>
          <w:sz w:val="32"/>
          <w:szCs w:val="32"/>
        </w:rPr>
      </w:pPr>
      <w:r>
        <w:rPr>
          <w:sz w:val="32"/>
          <w:szCs w:val="32"/>
        </w:rPr>
        <w:t xml:space="preserve">VIITORI ABSOLVENŢI AI </w:t>
      </w:r>
      <w:r>
        <w:rPr>
          <w:color w:val="FF0000"/>
          <w:sz w:val="32"/>
          <w:szCs w:val="32"/>
        </w:rPr>
        <w:t>CLASELOR a VIII-a</w:t>
      </w:r>
      <w:r>
        <w:rPr>
          <w:sz w:val="32"/>
          <w:szCs w:val="32"/>
          <w:highlight w:val="green"/>
        </w:rPr>
        <w:t>*</w:t>
      </w:r>
    </w:p>
    <w:p>
      <w:pPr>
        <w:pStyle w:val="Heading2"/>
        <w:rPr>
          <w:sz w:val="32"/>
          <w:szCs w:val="32"/>
        </w:rPr>
      </w:pPr>
      <w:r>
        <w:rPr>
          <w:sz w:val="32"/>
          <w:szCs w:val="32"/>
        </w:rPr>
        <w:t>care doresc să opteze pentru</w:t>
      </w:r>
    </w:p>
    <w:p>
      <w:pPr>
        <w:pStyle w:val="Heading2"/>
        <w:rPr>
          <w:sz w:val="32"/>
          <w:szCs w:val="32"/>
          <w:u w:val="single"/>
        </w:rPr>
      </w:pPr>
      <w:r>
        <w:rPr>
          <w:sz w:val="32"/>
          <w:szCs w:val="32"/>
          <w:u w:val="single"/>
        </w:rPr>
        <w:t>OBŢINEREA  UNEI  CALIFICĂRI  DE  NIVEL 3  PRIN</w:t>
      </w:r>
    </w:p>
    <w:p>
      <w:pPr>
        <w:pStyle w:val="Normal"/>
        <w:jc w:val="center"/>
        <w:rPr>
          <w:sz w:val="20"/>
          <w:szCs w:val="20"/>
        </w:rPr>
      </w:pPr>
      <w:r>
        <w:rPr>
          <w:b/>
          <w:sz w:val="40"/>
          <w:szCs w:val="40"/>
          <w:highlight w:val="yellow"/>
        </w:rPr>
        <w:t>ÎNVĂŢĂMÂNT  PROFESIONAL</w:t>
      </w:r>
      <w:r>
        <w:rPr>
          <w:b/>
          <w:sz w:val="40"/>
          <w:szCs w:val="40"/>
        </w:rPr>
        <w:t xml:space="preserve"> cu durata de 3 ani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b/>
          <w:b/>
          <w:color w:val="FF0000"/>
        </w:rPr>
      </w:pPr>
      <w:r>
        <w:rPr>
          <w:b/>
          <w:color w:val="FF0000"/>
        </w:rPr>
        <w:t>ATENŢIE !!!</w:t>
      </w:r>
    </w:p>
    <w:p>
      <w:pPr>
        <w:pStyle w:val="Normal"/>
        <w:jc w:val="center"/>
        <w:rPr>
          <w:sz w:val="20"/>
          <w:szCs w:val="20"/>
        </w:rPr>
      </w:pPr>
      <w:r>
        <w:rPr>
          <w:b/>
          <w:color w:val="FF0000"/>
        </w:rPr>
        <w:t xml:space="preserve">SE VA COMPLETA NUMAI ÎN </w:t>
      </w:r>
      <w:r>
        <w:rPr>
          <w:b/>
          <w:color w:val="FF0000"/>
          <w:highlight w:val="yellow"/>
        </w:rPr>
        <w:t>CASUŢELE ALBE</w:t>
      </w:r>
      <w:r>
        <w:rPr>
          <w:b/>
          <w:color w:val="FF0000"/>
        </w:rPr>
        <w:t xml:space="preserve"> CORESPUNZĂTOARE FIECĂREI INSTITUŢII DE ÎNVĂŢĂMÂNT</w:t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Default"/>
        <w:rPr>
          <w:lang w:val="ro-RO"/>
        </w:rPr>
      </w:pPr>
      <w:r>
        <w:rPr>
          <w:b/>
          <w:highlight w:val="green"/>
          <w:lang w:val="ro-RO"/>
        </w:rPr>
        <w:t>*</w:t>
      </w:r>
      <w:r>
        <w:rPr>
          <w:b/>
          <w:lang w:val="ro-RO"/>
        </w:rPr>
        <w:t xml:space="preserve"> </w:t>
      </w:r>
      <w:r>
        <w:rPr>
          <w:lang w:val="ro-RO"/>
        </w:rPr>
        <w:t xml:space="preserve">ART. 3 </w:t>
      </w:r>
    </w:p>
    <w:p>
      <w:pPr>
        <w:pStyle w:val="Default"/>
        <w:rPr>
          <w:lang w:val="ro-RO"/>
        </w:rPr>
      </w:pPr>
      <w:r>
        <w:rPr>
          <w:lang w:val="ro-RO"/>
        </w:rPr>
        <w:t xml:space="preserve">(1) Învăţământul profesional cu durata de 3 ani este organizat după clasa a VIII-a, ca parte a învăţământului secundar superior. </w:t>
      </w:r>
    </w:p>
    <w:p>
      <w:pPr>
        <w:pStyle w:val="Default"/>
        <w:rPr>
          <w:lang w:val="ro-RO"/>
        </w:rPr>
      </w:pPr>
      <w:r>
        <w:rPr>
          <w:lang w:val="ro-RO"/>
        </w:rPr>
        <w:t xml:space="preserve">(2) Învăţământul profesional cu durata de 3 ani este organizat ca învăţământ cu frecvenţă, cursuri de zi. </w:t>
      </w:r>
    </w:p>
    <w:p>
      <w:pPr>
        <w:pStyle w:val="Default"/>
        <w:rPr>
          <w:lang w:val="ro-RO"/>
        </w:rPr>
      </w:pPr>
      <w:r>
        <w:rPr>
          <w:lang w:val="ro-RO"/>
        </w:rPr>
        <w:t xml:space="preserve">(3) Învăţământul profesional cu durata de 3 ani, reglementat prin prezenta metodologie, poate fi desfăşurat şi în limbile minorităţilor naţionale. </w:t>
      </w:r>
    </w:p>
    <w:p>
      <w:pPr>
        <w:pStyle w:val="Default"/>
        <w:rPr>
          <w:lang w:val="ro-RO"/>
        </w:rPr>
      </w:pPr>
      <w:r>
        <w:rPr>
          <w:lang w:val="ro-RO"/>
        </w:rPr>
        <w:t xml:space="preserve">(4) Pot opta pentru înscrierea în învăţământul profesional şi elevii din învăţământul special care finalizează învăţământul secundar inferior, cu respectarea reglementărilor în vigoare. </w:t>
      </w:r>
    </w:p>
    <w:p>
      <w:pPr>
        <w:pStyle w:val="Normal"/>
        <w:jc w:val="both"/>
        <w:rPr/>
      </w:pPr>
      <w:r>
        <w:rPr/>
        <w:t>(5) Învăţământul profesional cu durata de 3 ani se finalizează cu examen de certificare a calificării profesionale.</w:t>
      </w:r>
    </w:p>
    <w:p>
      <w:pPr>
        <w:pStyle w:val="Normal"/>
        <w:jc w:val="both"/>
        <w:rPr>
          <w:b/>
          <w:b/>
          <w:bCs/>
          <w:i/>
          <w:i/>
          <w:highlight w:val="yellow"/>
        </w:rPr>
      </w:pPr>
      <w:r>
        <w:rPr>
          <w:b/>
          <w:bCs/>
          <w:i/>
          <w:highlight w:val="yellow"/>
        </w:rPr>
      </w:r>
    </w:p>
    <w:p>
      <w:pPr>
        <w:pStyle w:val="Default"/>
        <w:jc w:val="both"/>
        <w:rPr>
          <w:b/>
          <w:b/>
          <w:color w:val="FF0000"/>
          <w:lang w:val="ro-RO"/>
        </w:rPr>
      </w:pPr>
      <w:r>
        <w:rPr>
          <w:b/>
          <w:bCs/>
          <w:color w:val="FF0000"/>
          <w:highlight w:val="yellow"/>
          <w:lang w:val="ro-RO"/>
        </w:rPr>
        <w:t xml:space="preserve">Art. 3. </w:t>
      </w:r>
      <w:r>
        <w:rPr>
          <w:b/>
          <w:color w:val="FF0000"/>
          <w:highlight w:val="yellow"/>
          <w:lang w:val="ro-RO"/>
        </w:rPr>
        <w:t>din O.M.E.N.C.Ș. nr. 5033 din 29 august 2016 privind aprobarea Metodologiei de organizare și funcționare a învățământului profesional de stat.</w:t>
      </w:r>
    </w:p>
    <w:p>
      <w:pPr>
        <w:pStyle w:val="Normal"/>
        <w:rPr>
          <w:sz w:val="16"/>
          <w:szCs w:val="16"/>
        </w:rPr>
      </w:pPr>
      <w:r>
        <w:rPr>
          <w:sz w:val="16"/>
          <w:szCs w:val="16"/>
        </w:rPr>
      </w:r>
    </w:p>
    <w:p>
      <w:pPr>
        <w:pStyle w:val="Normal"/>
        <w:rPr/>
      </w:pPr>
      <w:r>
        <w:rPr/>
      </w:r>
    </w:p>
    <w:p>
      <w:pPr>
        <w:pStyle w:val="Normal"/>
        <w:rPr>
          <w:sz w:val="20"/>
          <w:szCs w:val="20"/>
        </w:rPr>
      </w:pPr>
      <w:r>
        <w:rPr>
          <w:sz w:val="20"/>
          <w:szCs w:val="20"/>
        </w:rPr>
      </w:r>
      <w:r>
        <w:br w:type="page"/>
      </w:r>
    </w:p>
    <w:p>
      <w:pPr>
        <w:pStyle w:val="Normal"/>
        <w:rPr/>
      </w:pPr>
      <w:r>
        <w:rPr/>
      </w:r>
    </w:p>
    <w:tbl>
      <w:tblPr>
        <w:tblStyle w:val="GrilTabel"/>
        <w:tblW w:w="15632" w:type="dxa"/>
        <w:jc w:val="center"/>
        <w:tblInd w:w="0" w:type="dxa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534"/>
        <w:gridCol w:w="3259"/>
        <w:gridCol w:w="1307"/>
        <w:gridCol w:w="363"/>
        <w:gridCol w:w="363"/>
        <w:gridCol w:w="362"/>
        <w:gridCol w:w="364"/>
        <w:gridCol w:w="363"/>
        <w:gridCol w:w="363"/>
        <w:gridCol w:w="362"/>
        <w:gridCol w:w="365"/>
        <w:gridCol w:w="362"/>
        <w:gridCol w:w="363"/>
        <w:gridCol w:w="364"/>
        <w:gridCol w:w="363"/>
        <w:gridCol w:w="363"/>
        <w:gridCol w:w="362"/>
        <w:gridCol w:w="364"/>
        <w:gridCol w:w="363"/>
        <w:gridCol w:w="363"/>
        <w:gridCol w:w="362"/>
        <w:gridCol w:w="365"/>
        <w:gridCol w:w="362"/>
        <w:gridCol w:w="363"/>
        <w:gridCol w:w="364"/>
        <w:gridCol w:w="363"/>
        <w:gridCol w:w="362"/>
        <w:gridCol w:w="363"/>
        <w:gridCol w:w="364"/>
        <w:gridCol w:w="363"/>
        <w:gridCol w:w="363"/>
        <w:gridCol w:w="358"/>
      </w:tblGrid>
      <w:tr>
        <w:trPr>
          <w:tblHeader w:val="true"/>
          <w:trHeight w:val="284" w:hRule="atLeast"/>
          <w:cantSplit w:val="true"/>
        </w:trPr>
        <w:tc>
          <w:tcPr>
            <w:tcW w:w="534" w:type="dxa"/>
            <w:vMerge w:val="restart"/>
            <w:tcBorders/>
            <w:shd w:color="auto" w:fill="B6DDE8" w:themeFill="accent5" w:themeFillTint="6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Nr. crt.</w:t>
            </w:r>
          </w:p>
        </w:tc>
        <w:tc>
          <w:tcPr>
            <w:tcW w:w="3259" w:type="dxa"/>
            <w:vMerge w:val="restart"/>
            <w:tcBorders/>
            <w:shd w:color="auto" w:fill="B6DDE8" w:themeFill="accent5" w:themeFillTint="6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Instituţii de</w:t>
            </w:r>
          </w:p>
          <w:p>
            <w:pPr>
              <w:pStyle w:val="Normal"/>
              <w:jc w:val="center"/>
              <w:rPr>
                <w:b/>
                <w:b/>
                <w:bCs/>
                <w:sz w:val="18"/>
                <w:szCs w:val="18"/>
              </w:rPr>
            </w:pPr>
            <w:r>
              <w:rPr>
                <w:b/>
                <w:sz w:val="18"/>
                <w:szCs w:val="18"/>
                <w:highlight w:val="yellow"/>
              </w:rPr>
              <w:t>ÎNVĂŢĂMÂNT  PROFESIONAL DE STAT</w:t>
            </w:r>
          </w:p>
        </w:tc>
        <w:tc>
          <w:tcPr>
            <w:tcW w:w="1307" w:type="dxa"/>
            <w:vMerge w:val="restart"/>
            <w:tcBorders/>
            <w:shd w:color="auto" w:fill="B6DDE8" w:themeFill="accent5" w:themeFillTint="6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Localitatea</w:t>
            </w:r>
          </w:p>
        </w:tc>
        <w:tc>
          <w:tcPr>
            <w:tcW w:w="10524" w:type="dxa"/>
            <w:gridSpan w:val="29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8"/>
                <w:szCs w:val="18"/>
                <w:highlight w:val="cyan"/>
              </w:rPr>
              <w:t xml:space="preserve">DOMENIUL DE </w:t>
            </w:r>
            <w:r>
              <w:rPr>
                <w:b/>
                <w:color w:val="FF0000"/>
                <w:sz w:val="18"/>
                <w:szCs w:val="18"/>
                <w:highlight w:val="cyan"/>
              </w:rPr>
              <w:t>SPECIALIZARE</w:t>
            </w:r>
          </w:p>
        </w:tc>
      </w:tr>
      <w:tr>
        <w:trPr>
          <w:tblHeader w:val="true"/>
          <w:trHeight w:val="2127" w:hRule="exact"/>
          <w:cantSplit w:val="true"/>
        </w:trPr>
        <w:tc>
          <w:tcPr>
            <w:tcW w:w="534" w:type="dxa"/>
            <w:vMerge w:val="continue"/>
            <w:tcBorders/>
            <w:shd w:color="auto" w:fill="B6DDE8" w:themeFill="accent5" w:themeFillTint="6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</w:r>
          </w:p>
        </w:tc>
        <w:tc>
          <w:tcPr>
            <w:tcW w:w="3259" w:type="dxa"/>
            <w:vMerge w:val="continue"/>
            <w:tcBorders/>
            <w:shd w:color="auto" w:fill="B6DDE8" w:themeFill="accent5" w:themeFillTint="66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307" w:type="dxa"/>
            <w:vMerge w:val="continue"/>
            <w:tcBorders/>
            <w:shd w:color="auto" w:fill="B6DDE8" w:themeFill="accent5" w:themeFillTint="6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452" w:type="dxa"/>
            <w:gridSpan w:val="4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AGRICULTURĂ</w:t>
            </w:r>
          </w:p>
        </w:tc>
        <w:tc>
          <w:tcPr>
            <w:tcW w:w="726" w:type="dxa"/>
            <w:gridSpan w:val="2"/>
            <w:tcBorders/>
            <w:shd w:color="auto" w:fill="92CDDC" w:themeFill="accent5" w:themeFillTint="99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COMERȚ</w:t>
            </w:r>
          </w:p>
        </w:tc>
        <w:tc>
          <w:tcPr>
            <w:tcW w:w="727" w:type="dxa"/>
            <w:gridSpan w:val="2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CONSTRUCŢII, INSTALAŢII ŞI LUCRĂRI PUBLICE</w:t>
            </w:r>
          </w:p>
        </w:tc>
        <w:tc>
          <w:tcPr>
            <w:tcW w:w="725" w:type="dxa"/>
            <w:gridSpan w:val="2"/>
            <w:tcBorders/>
            <w:shd w:color="auto" w:fill="92CDDC" w:themeFill="accent5" w:themeFillTint="99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ELECTRIC</w:t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ELECTROMECANICĂ</w:t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ESTETICA ȘI IGIENA CORPULUI OMENESC</w:t>
            </w:r>
          </w:p>
        </w:tc>
        <w:tc>
          <w:tcPr>
            <w:tcW w:w="1089" w:type="dxa"/>
            <w:gridSpan w:val="3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INDUSTRIE ALIMENTARĂ</w:t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INDUSTRIE TEXTILĂ ȘI PIELĂRIE</w:t>
            </w:r>
          </w:p>
        </w:tc>
        <w:tc>
          <w:tcPr>
            <w:tcW w:w="2904" w:type="dxa"/>
            <w:gridSpan w:val="8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MECANICĂ</w:t>
            </w:r>
          </w:p>
        </w:tc>
        <w:tc>
          <w:tcPr>
            <w:tcW w:w="1453" w:type="dxa"/>
            <w:gridSpan w:val="4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TURISM ŞI ALIMENTAŢIE</w:t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b/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TEOLOGIC</w:t>
            </w:r>
          </w:p>
        </w:tc>
      </w:tr>
      <w:tr>
        <w:trPr>
          <w:tblHeader w:val="true"/>
          <w:trHeight w:val="2260" w:hRule="exact"/>
          <w:cantSplit w:val="true"/>
        </w:trPr>
        <w:tc>
          <w:tcPr>
            <w:tcW w:w="534" w:type="dxa"/>
            <w:vMerge w:val="continue"/>
            <w:tcBorders/>
            <w:shd w:color="auto" w:fill="B6DDE8" w:themeFill="accent5" w:themeFillTint="6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vMerge w:val="continue"/>
            <w:tcBorders/>
            <w:shd w:color="auto" w:fill="B6DDE8" w:themeFill="accent5" w:themeFillTint="66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1307" w:type="dxa"/>
            <w:vMerge w:val="continue"/>
            <w:tcBorders/>
            <w:shd w:color="auto" w:fill="B6DDE8" w:themeFill="accent5" w:themeFillTint="6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Zootehnist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Horticultor</w:t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Lucrător în agroturism</w:t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Agricultor culturi de câmp</w:t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Comerciant-vânzător</w:t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Recepţioner - distribuitor</w:t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Zugrav, ipsosar, vopsitor, tapetar</w:t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Zidar-pietrar-tencuitor</w:t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Electrician constructor</w:t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Electrician exploatare joasă tensiune</w:t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Electromecanic nave</w:t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Frizer-coafor-manichiurist-pedichiurist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Brutar - patiser -preparator produse făinoase</w:t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Preparator produse din lapte</w:t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Preparator produse din carne şi peşte</w:t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Confecţii produse textile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Mecanic agricol</w:t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Tubulator naval</w:t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Lăcătuș construcții metalice și utilaj tehnologic</w:t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Mecanic auto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Tinichigiu vopsitor auto</w:t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Sudor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Mecanic utilaje şi instalaţii în industrie</w:t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Lăcătuş construcţii navale</w:t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Bucătar</w:t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Ospătar (chelner) vânzător în unităţi de alimentaţie</w:t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Lucrător hotelier</w:t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Cofetar-patiser</w:t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textDirection w:val="btLr"/>
            <w:vAlign w:val="center"/>
          </w:tcPr>
          <w:p>
            <w:pPr>
              <w:pStyle w:val="Normal"/>
              <w:ind w:left="113" w:right="113" w:hanging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Dascăl (catehet)</w:t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"Jean Dinu"</w:t>
            </w:r>
          </w:p>
        </w:tc>
        <w:tc>
          <w:tcPr>
            <w:tcW w:w="1307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Adamclisi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Teoretic Băneasa</w:t>
            </w:r>
          </w:p>
        </w:tc>
        <w:tc>
          <w:tcPr>
            <w:tcW w:w="1307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Băneasa</w:t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259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Liceul Tehnologic "Dobrogea"</w:t>
            </w:r>
          </w:p>
        </w:tc>
        <w:tc>
          <w:tcPr>
            <w:tcW w:w="1307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Castelu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259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"Axiopolis"</w:t>
            </w:r>
          </w:p>
        </w:tc>
        <w:tc>
          <w:tcPr>
            <w:tcW w:w="1307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Cernavodă</w:t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8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Ciobanu</w:t>
            </w:r>
          </w:p>
        </w:tc>
        <w:tc>
          <w:tcPr>
            <w:tcW w:w="1307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Ciobanu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259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Liceul Cobadin</w:t>
            </w:r>
          </w:p>
        </w:tc>
        <w:tc>
          <w:tcPr>
            <w:tcW w:w="1307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Cobadin</w:t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8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</w:t>
            </w:r>
          </w:p>
        </w:tc>
        <w:tc>
          <w:tcPr>
            <w:tcW w:w="1307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Cogealac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259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Colegiul Comercial ”Carol I”</w:t>
            </w:r>
          </w:p>
        </w:tc>
        <w:tc>
          <w:tcPr>
            <w:tcW w:w="1307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Constanța</w:t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8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25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bCs/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Liceul Tehnologic ”Gheorghe Miron Costin”</w:t>
            </w:r>
          </w:p>
        </w:tc>
        <w:tc>
          <w:tcPr>
            <w:tcW w:w="1307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bCs/>
                <w:sz w:val="18"/>
                <w:szCs w:val="18"/>
              </w:rPr>
              <w:t>Constanța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"Ioan N. Roman"</w:t>
            </w:r>
          </w:p>
        </w:tc>
        <w:tc>
          <w:tcPr>
            <w:tcW w:w="1307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Constanţa</w:t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de Marină</w:t>
            </w:r>
          </w:p>
        </w:tc>
        <w:tc>
          <w:tcPr>
            <w:tcW w:w="1307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Constanţa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de Electrotehnică şi Telecomunicaţii</w:t>
            </w:r>
          </w:p>
        </w:tc>
        <w:tc>
          <w:tcPr>
            <w:tcW w:w="1307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Constanţa</w:t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Centrul Școlar pentru Educație Incluzivă „Albatros”    </w:t>
            </w:r>
            <w:r>
              <w:rPr>
                <w:sz w:val="18"/>
                <w:szCs w:val="18"/>
                <w:highlight w:val="yellow"/>
              </w:rPr>
              <w:t>ÎNVĂȚAMÂNT SPECIAL</w:t>
            </w:r>
          </w:p>
        </w:tc>
        <w:tc>
          <w:tcPr>
            <w:tcW w:w="1307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Constanţa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Centrul Școlar pentru Educație Incluzivă „Albatros”    </w:t>
            </w:r>
            <w:r>
              <w:rPr>
                <w:sz w:val="18"/>
                <w:szCs w:val="18"/>
                <w:highlight w:val="cyan"/>
              </w:rPr>
              <w:t>ÎNVĂȚAMÂNT DE MASĂ</w:t>
            </w:r>
          </w:p>
        </w:tc>
        <w:tc>
          <w:tcPr>
            <w:tcW w:w="1307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Constanţa</w:t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Energetic Constanta</w:t>
            </w:r>
          </w:p>
        </w:tc>
        <w:tc>
          <w:tcPr>
            <w:tcW w:w="1307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Constanţa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Pontica</w:t>
            </w:r>
          </w:p>
        </w:tc>
        <w:tc>
          <w:tcPr>
            <w:tcW w:w="1307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Constanţa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"Virgil Madgearu"</w:t>
            </w:r>
          </w:p>
        </w:tc>
        <w:tc>
          <w:tcPr>
            <w:tcW w:w="1307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Constanţa</w:t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"C. A. Rosetti"</w:t>
            </w:r>
          </w:p>
        </w:tc>
        <w:tc>
          <w:tcPr>
            <w:tcW w:w="1307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Constanţa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"Dimitrie Leonida"</w:t>
            </w:r>
          </w:p>
        </w:tc>
        <w:tc>
          <w:tcPr>
            <w:tcW w:w="1307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Constanţa</w:t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”Tomis” Constanta</w:t>
            </w:r>
          </w:p>
        </w:tc>
        <w:tc>
          <w:tcPr>
            <w:tcW w:w="1307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Constanţa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>Seminarul Teologic Liceal Ortodox ”Dionisie Exiguul” Constanta</w:t>
            </w:r>
          </w:p>
        </w:tc>
        <w:tc>
          <w:tcPr>
            <w:tcW w:w="1307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Constanţa</w:t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color w:val="0D0D0D"/>
                <w:sz w:val="18"/>
                <w:szCs w:val="18"/>
              </w:rPr>
            </w:pPr>
            <w:r>
              <w:rPr>
                <w:color w:val="0D0D0D"/>
                <w:sz w:val="18"/>
                <w:szCs w:val="18"/>
              </w:rPr>
              <w:t xml:space="preserve">Liceul Tehnologic UCECOM ” Spiru Haret”   </w:t>
            </w:r>
            <w:r>
              <w:rPr>
                <w:color w:val="0D0D0D"/>
                <w:sz w:val="18"/>
                <w:szCs w:val="18"/>
                <w:highlight w:val="green"/>
              </w:rPr>
              <w:t>ÎNVĂȚĂMÂNT PARTICULAR</w:t>
            </w:r>
          </w:p>
        </w:tc>
        <w:tc>
          <w:tcPr>
            <w:tcW w:w="1307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Constanţa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Crucea</w:t>
            </w:r>
          </w:p>
        </w:tc>
        <w:tc>
          <w:tcPr>
            <w:tcW w:w="1307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Crucea</w:t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259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„Nicolae Dumitrescu”</w:t>
            </w:r>
          </w:p>
        </w:tc>
        <w:tc>
          <w:tcPr>
            <w:tcW w:w="1307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Cumpăna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259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”Nicolae Istrățoiu”</w:t>
            </w:r>
          </w:p>
        </w:tc>
        <w:tc>
          <w:tcPr>
            <w:tcW w:w="1307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Deleni</w:t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8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"Radu Prişcu" Dobromir</w:t>
            </w:r>
          </w:p>
        </w:tc>
        <w:tc>
          <w:tcPr>
            <w:tcW w:w="1307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Dobromir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„Carsium”</w:t>
            </w:r>
          </w:p>
        </w:tc>
        <w:tc>
          <w:tcPr>
            <w:tcW w:w="1307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Hârșova</w:t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Independența</w:t>
            </w:r>
          </w:p>
        </w:tc>
        <w:tc>
          <w:tcPr>
            <w:tcW w:w="1307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Independența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259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Colegiul Economic</w:t>
            </w:r>
          </w:p>
        </w:tc>
        <w:tc>
          <w:tcPr>
            <w:tcW w:w="1307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Mangalia</w:t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58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”Ion Bănescu”</w:t>
            </w:r>
          </w:p>
        </w:tc>
        <w:tc>
          <w:tcPr>
            <w:tcW w:w="1307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Mangalia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”Dragomir Hurmuzescu”</w:t>
            </w:r>
          </w:p>
        </w:tc>
        <w:tc>
          <w:tcPr>
            <w:tcW w:w="1307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Medgidia</w:t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"Nicolae Titulescu"</w:t>
            </w:r>
          </w:p>
        </w:tc>
        <w:tc>
          <w:tcPr>
            <w:tcW w:w="1307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Medgidia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3259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„Mihai Viteazul”</w:t>
            </w:r>
          </w:p>
        </w:tc>
        <w:tc>
          <w:tcPr>
            <w:tcW w:w="1307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Mihai Viteazu</w:t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Teoretic ”Mihail Kogălniceanu”</w:t>
            </w:r>
          </w:p>
        </w:tc>
        <w:tc>
          <w:tcPr>
            <w:tcW w:w="1307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Mihail Kogălniceanu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 Tehnologic ”Lazăr Edeleanu”</w:t>
            </w:r>
          </w:p>
        </w:tc>
        <w:tc>
          <w:tcPr>
            <w:tcW w:w="1307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Năvodari</w:t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Teoretic Negru Vodă</w:t>
            </w:r>
          </w:p>
        </w:tc>
        <w:tc>
          <w:tcPr>
            <w:tcW w:w="1307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Negru Vodă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"I.C. Brătianu" Nicolae Bălcescu</w:t>
            </w:r>
          </w:p>
        </w:tc>
        <w:tc>
          <w:tcPr>
            <w:tcW w:w="1307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Nicolae Bălcescu</w:t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"Regele Carol I"</w:t>
            </w:r>
          </w:p>
        </w:tc>
        <w:tc>
          <w:tcPr>
            <w:tcW w:w="1307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Ostrov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"Ion Podaru"</w:t>
            </w:r>
          </w:p>
        </w:tc>
        <w:tc>
          <w:tcPr>
            <w:tcW w:w="1307" w:type="dxa"/>
            <w:tcBorders/>
            <w:shd w:color="auto" w:fill="D9D9D9" w:themeFill="background1" w:themeFillShade="d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Ovidiu</w:t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A6A6A6" w:themeFill="background1" w:themeFillShade="a6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Liceul Tehnologic Topraisar</w:t>
            </w:r>
          </w:p>
        </w:tc>
        <w:tc>
          <w:tcPr>
            <w:tcW w:w="1307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Topraisar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  <w:tr>
        <w:trPr>
          <w:trHeight w:val="340" w:hRule="atLeast"/>
          <w:cantSplit w:val="true"/>
        </w:trPr>
        <w:tc>
          <w:tcPr>
            <w:tcW w:w="534" w:type="dxa"/>
            <w:tcBorders/>
            <w:shd w:fill="auto" w:val="clear"/>
            <w:tcMar>
              <w:left w:w="108" w:type="dxa"/>
            </w:tcMar>
            <w:vAlign w:val="center"/>
          </w:tcPr>
          <w:p>
            <w:pPr>
              <w:pStyle w:val="ListParagraph"/>
              <w:numPr>
                <w:ilvl w:val="0"/>
                <w:numId w:val="1"/>
              </w:num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259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Liceul Agricol Poarta Albă</w:t>
            </w:r>
          </w:p>
        </w:tc>
        <w:tc>
          <w:tcPr>
            <w:tcW w:w="1307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20"/>
                <w:szCs w:val="20"/>
              </w:rPr>
              <w:t>Poarta Albă</w:t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auto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5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2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4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63" w:type="dxa"/>
            <w:tcBorders/>
            <w:shd w:color="auto" w:fill="92CDDC" w:themeFill="accent5" w:themeFillTint="99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  <w:tc>
          <w:tcPr>
            <w:tcW w:w="358" w:type="dxa"/>
            <w:tcBorders/>
            <w:shd w:color="auto" w:fill="BFBFBF" w:themeFill="background1" w:themeFillShade="bf" w:val="clear"/>
            <w:tcMar>
              <w:left w:w="108" w:type="dxa"/>
            </w:tcMar>
            <w:vAlign w:val="center"/>
          </w:tcPr>
          <w:p>
            <w:pPr>
              <w:pStyle w:val="Normal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</w:r>
          </w:p>
        </w:tc>
      </w:tr>
    </w:tbl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rPr/>
      </w:pPr>
      <w:r>
        <w:rPr/>
      </w:r>
    </w:p>
    <w:p>
      <w:pPr>
        <w:pStyle w:val="Normal"/>
        <w:pBdr/>
        <w:rPr/>
      </w:pPr>
      <w:r>
        <w:rPr/>
      </w:r>
    </w:p>
    <w:sectPr>
      <w:headerReference w:type="default" r:id="rId2"/>
      <w:footerReference w:type="default" r:id="rId3"/>
      <w:type w:val="nextPage"/>
      <w:pgSz w:orient="landscape" w:w="16838" w:h="11906"/>
      <w:pgMar w:left="851" w:right="567" w:header="0" w:top="567" w:footer="0" w:bottom="567" w:gutter="0"/>
      <w:pgNumType w:fmt="decimal"/>
      <w:formProt w:val="false"/>
      <w:textDirection w:val="lrTb"/>
      <w:docGrid w:type="default" w:linePitch="36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Tahoma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Comic Sans MS">
    <w:charset w:val="01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sdt>
    <w:sdtPr>
      <w:docPartObj>
        <w:docPartGallery w:val="Page Numbers (Top of Page)"/>
        <w:docPartUnique w:val="true"/>
      </w:docPartObj>
      <w:id w:val="793398255"/>
    </w:sdtPr>
    <w:sdtContent>
      <w:p>
        <w:pPr>
          <w:pStyle w:val="Footer"/>
          <w:rPr/>
        </w:pPr>
        <w:r>
          <w:rPr>
            <w:rFonts w:ascii="Comic Sans MS" w:hAnsi="Comic Sans MS"/>
            <w:sz w:val="10"/>
            <w:szCs w:val="10"/>
          </w:rPr>
          <w:t>Centralizare şi tehnoredactare, Barbu Lucian laborant IA CJRAE</w:t>
          <w:tab/>
          <w:tab/>
          <w:tab/>
          <w:tab/>
          <w:tab/>
          <w:tab/>
        </w:r>
        <w:r>
          <w:rPr>
            <w:sz w:val="20"/>
            <w:szCs w:val="20"/>
          </w:rPr>
          <w:tab/>
          <w:t xml:space="preserve">CHESTIONAR 3 / Pagină </w:t>
        </w:r>
        <w:r>
          <w:rPr>
            <w:b/>
            <w:sz w:val="20"/>
            <w:szCs w:val="20"/>
          </w:rPr>
          <w:fldChar w:fldCharType="begin"/>
        </w:r>
        <w:r>
          <w:instrText> PAGE </w:instrText>
        </w:r>
        <w:r>
          <w:fldChar w:fldCharType="separate"/>
        </w:r>
        <w:r>
          <w:t>4</w:t>
        </w:r>
        <w:r>
          <w:fldChar w:fldCharType="end"/>
        </w:r>
        <w:r>
          <w:rPr>
            <w:sz w:val="20"/>
            <w:szCs w:val="20"/>
          </w:rPr>
          <w:t xml:space="preserve"> din </w:t>
        </w:r>
        <w:r>
          <w:rPr>
            <w:b/>
            <w:sz w:val="20"/>
            <w:szCs w:val="20"/>
          </w:rPr>
          <w:fldChar w:fldCharType="begin"/>
        </w:r>
        <w:r>
          <w:instrText> NUMPAGES </w:instrText>
        </w:r>
        <w:r>
          <w:fldChar w:fldCharType="separate"/>
        </w:r>
        <w:r>
          <w:t>4</w:t>
        </w:r>
        <w:r>
          <w:fldChar w:fldCharType="end"/>
        </w:r>
      </w:p>
    </w:sdtContent>
  </w:sdt>
  <w:p>
    <w:pPr>
      <w:pStyle w:val="Footer"/>
      <w:ind w:right="360" w:hanging="0"/>
      <w:rPr>
        <w:rFonts w:ascii="Comic Sans MS" w:hAnsi="Comic Sans MS"/>
        <w:sz w:val="10"/>
        <w:szCs w:val="10"/>
      </w:rPr>
    </w:pPr>
    <w:r>
      <w:rPr>
        <w:rFonts w:ascii="Comic Sans MS" w:hAnsi="Comic Sans MS"/>
        <w:sz w:val="10"/>
        <w:szCs w:val="10"/>
      </w:rPr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Header"/>
      <w:jc w:val="right"/>
      <w:rPr>
        <w:sz w:val="16"/>
        <w:szCs w:val="16"/>
      </w:rPr>
    </w:pPr>
    <w:r>
      <w:rPr>
        <w:sz w:val="16"/>
        <w:szCs w:val="16"/>
      </w:rPr>
    </w:r>
  </w:p>
  <w:p>
    <w:pPr>
      <w:pStyle w:val="Header"/>
      <w:jc w:val="right"/>
      <w:rPr/>
    </w:pPr>
    <w:r>
      <w:rPr>
        <w:sz w:val="16"/>
        <w:szCs w:val="16"/>
      </w:rPr>
      <w:t xml:space="preserve">Pentru aplicare în an şcolar </w:t>
    </w:r>
    <w:r>
      <w:rPr>
        <w:b/>
        <w:color w:val="FF0000"/>
        <w:sz w:val="16"/>
        <w:szCs w:val="16"/>
      </w:rPr>
      <w:t>2019-2020</w:t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72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40"/>
  <w:defaultTabStop w:val="708"/>
  <w:compat/>
  <w:themeFontLang w:val="ro-RO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ro-RO" w:eastAsia="en-US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No List" w:uiPriority="0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ea6973"/>
    <w:pPr>
      <w:widowControl/>
      <w:bidi w:val="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ro-RO" w:val="ro-RO" w:bidi="ar-SA"/>
    </w:rPr>
  </w:style>
  <w:style w:type="paragraph" w:styleId="Heading2">
    <w:name w:val="Heading 2"/>
    <w:basedOn w:val="Normal"/>
    <w:next w:val="Normal"/>
    <w:link w:val="Titlu2Caracter"/>
    <w:qFormat/>
    <w:rsid w:val="00ea6973"/>
    <w:pPr>
      <w:keepNext/>
      <w:jc w:val="center"/>
      <w:outlineLvl w:val="1"/>
    </w:pPr>
    <w:rPr>
      <w:b/>
      <w:bC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itlu2Caracter" w:customStyle="1">
    <w:name w:val="Titlu 2 Caracter"/>
    <w:basedOn w:val="DefaultParagraphFont"/>
    <w:link w:val="Titlu2"/>
    <w:qFormat/>
    <w:rsid w:val="00ea6973"/>
    <w:rPr>
      <w:rFonts w:ascii="Times New Roman" w:hAnsi="Times New Roman" w:eastAsia="Times New Roman" w:cs="Times New Roman"/>
      <w:b/>
      <w:bCs/>
      <w:sz w:val="24"/>
      <w:szCs w:val="24"/>
      <w:lang w:eastAsia="ro-RO"/>
    </w:rPr>
  </w:style>
  <w:style w:type="character" w:styleId="SubsolCaracter" w:customStyle="1">
    <w:name w:val="Subsol Caracter"/>
    <w:basedOn w:val="DefaultParagraphFont"/>
    <w:link w:val="Subsol"/>
    <w:qFormat/>
    <w:rsid w:val="00ea6973"/>
    <w:rPr>
      <w:rFonts w:ascii="Times New Roman" w:hAnsi="Times New Roman" w:eastAsia="Times New Roman" w:cs="Times New Roman"/>
      <w:sz w:val="24"/>
      <w:szCs w:val="24"/>
      <w:lang w:eastAsia="ro-RO"/>
    </w:rPr>
  </w:style>
  <w:style w:type="character" w:styleId="Pagenumber">
    <w:name w:val="page number"/>
    <w:basedOn w:val="DefaultParagraphFont"/>
    <w:qFormat/>
    <w:rsid w:val="00ea6973"/>
    <w:rPr/>
  </w:style>
  <w:style w:type="character" w:styleId="AntetCaracter" w:customStyle="1">
    <w:name w:val="Antet Caracter"/>
    <w:basedOn w:val="DefaultParagraphFont"/>
    <w:link w:val="Antet"/>
    <w:uiPriority w:val="99"/>
    <w:qFormat/>
    <w:rsid w:val="00ea6973"/>
    <w:rPr>
      <w:rFonts w:ascii="Times New Roman" w:hAnsi="Times New Roman" w:eastAsia="Times New Roman" w:cs="Times New Roman"/>
      <w:sz w:val="24"/>
      <w:szCs w:val="24"/>
      <w:lang w:eastAsia="ro-RO"/>
    </w:rPr>
  </w:style>
  <w:style w:type="character" w:styleId="TextnBalonCaracter" w:customStyle="1">
    <w:name w:val="Text în Balon Caracter"/>
    <w:basedOn w:val="DefaultParagraphFont"/>
    <w:link w:val="TextnBalon"/>
    <w:uiPriority w:val="99"/>
    <w:semiHidden/>
    <w:qFormat/>
    <w:rsid w:val="00ea6973"/>
    <w:rPr>
      <w:rFonts w:ascii="Tahoma" w:hAnsi="Tahoma" w:eastAsia="Times New Roman" w:cs="Tahoma"/>
      <w:sz w:val="16"/>
      <w:szCs w:val="16"/>
      <w:lang w:eastAsia="ro-RO"/>
    </w:rPr>
  </w:style>
  <w:style w:type="character" w:styleId="ListLabel1">
    <w:name w:val="ListLabel 1"/>
    <w:qFormat/>
    <w:rPr>
      <w:sz w:val="18"/>
      <w:szCs w:val="18"/>
    </w:rPr>
  </w:style>
  <w:style w:type="paragraph" w:styleId="Heading">
    <w:name w:val="Heading"/>
    <w:basedOn w:val="Normal"/>
    <w:next w:val="TextBody"/>
    <w:qFormat/>
    <w:pPr>
      <w:keepNext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TextBody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TextBody"/>
    <w:pPr/>
    <w:rPr>
      <w:rFonts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FreeSans"/>
    </w:rPr>
  </w:style>
  <w:style w:type="paragraph" w:styleId="Footer">
    <w:name w:val="Footer"/>
    <w:basedOn w:val="Normal"/>
    <w:link w:val="SubsolCaracter"/>
    <w:rsid w:val="00ea6973"/>
    <w:pPr>
      <w:tabs>
        <w:tab w:val="center" w:pos="4320" w:leader="none"/>
        <w:tab w:val="right" w:pos="8640" w:leader="none"/>
      </w:tabs>
    </w:pPr>
    <w:rPr/>
  </w:style>
  <w:style w:type="paragraph" w:styleId="Header">
    <w:name w:val="Header"/>
    <w:basedOn w:val="Normal"/>
    <w:link w:val="AntetCaracter"/>
    <w:uiPriority w:val="99"/>
    <w:rsid w:val="00ea6973"/>
    <w:pPr>
      <w:tabs>
        <w:tab w:val="center" w:pos="4320" w:leader="none"/>
        <w:tab w:val="right" w:pos="8640" w:leader="none"/>
      </w:tabs>
    </w:pPr>
    <w:rPr/>
  </w:style>
  <w:style w:type="paragraph" w:styleId="Default" w:customStyle="1">
    <w:name w:val="Default"/>
    <w:qFormat/>
    <w:rsid w:val="00ea6973"/>
    <w:pPr>
      <w:widowControl/>
      <w:bidi w:val="0"/>
      <w:jc w:val="left"/>
    </w:pPr>
    <w:rPr>
      <w:rFonts w:ascii="Times New Roman" w:hAnsi="Times New Roman" w:eastAsia="Times New Roman" w:cs="Times New Roman"/>
      <w:color w:val="000000"/>
      <w:sz w:val="24"/>
      <w:szCs w:val="24"/>
      <w:lang w:val="en-US" w:eastAsia="en-US" w:bidi="ar-SA"/>
    </w:rPr>
  </w:style>
  <w:style w:type="paragraph" w:styleId="BalloonText">
    <w:name w:val="Balloon Text"/>
    <w:basedOn w:val="Normal"/>
    <w:link w:val="TextnBalonCaracter"/>
    <w:uiPriority w:val="99"/>
    <w:semiHidden/>
    <w:unhideWhenUsed/>
    <w:qFormat/>
    <w:rsid w:val="00ea6973"/>
    <w:pPr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0e0fa0"/>
    <w:pPr>
      <w:spacing w:before="0" w:after="0"/>
      <w:ind w:left="720" w:hanging="0"/>
      <w:contextualSpacing/>
    </w:pPr>
    <w:rPr/>
  </w:style>
  <w:style w:type="paragraph" w:styleId="FrameContents">
    <w:name w:val="Frame Contents"/>
    <w:basedOn w:val="Normal"/>
    <w:qFormat/>
    <w:pPr/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GrilTabel">
    <w:name w:val="Table Grid"/>
    <w:basedOn w:val="TabelNormal"/>
    <w:uiPriority w:val="59"/>
    <w:rsid w:val="00167bb6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40DDFE-B204-4A23-BEFF-18823D46FE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245</TotalTime>
  <Application>LibreOffice/5.1.6.2$Linux_X86_64 LibreOffice_project/10m0$Build-2</Application>
  <Pages>4</Pages>
  <Words>581</Words>
  <Characters>3873</Characters>
  <CharactersWithSpaces>4306</CharactersWithSpaces>
  <Paragraphs>191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2018-11-28T09:18:00Z</dcterms:created>
  <dc:creator>Windows User</dc:creator>
  <dc:description/>
  <dc:language>ro-RO</dc:language>
  <cp:lastModifiedBy/>
  <dcterms:modified xsi:type="dcterms:W3CDTF">2019-10-31T19:19:22Z</dcterms:modified>
  <cp:revision>19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